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rPr>
          <w:rFonts w:ascii="Calibri" w:hAnsi="Calibri" w:eastAsia="Calibri" w:cs="Calibri"/>
        </w:rPr>
      </w:pPr>
      <w:r>
        <w:rPr>
          <w:rFonts w:eastAsia="Calibri" w:cs="Calibri" w:ascii="Calibri" w:hAnsi="Calibri"/>
        </w:rPr>
        <w:t xml:space="preserve">2026 </w:t>
      </w:r>
      <w:r>
        <w:rPr/>
        <w:t>Action</w:t>
      </w:r>
      <w:r>
        <w:rPr>
          <w:rFonts w:eastAsia="Calibri" w:cs="Calibri" w:ascii="Calibri" w:hAnsi="Calibri"/>
        </w:rPr>
        <w:t xml:space="preserve"> Plan for Community Network Infrastructures SIG:</w:t>
      </w:r>
    </w:p>
    <w:p>
      <w:pPr>
        <w:pStyle w:val="Normal"/>
        <w:rPr>
          <w:b/>
        </w:rPr>
      </w:pPr>
      <w:r>
        <w:rPr>
          <w:b/>
        </w:rPr>
      </w:r>
    </w:p>
    <w:p>
      <w:pPr>
        <w:pStyle w:val="Normal"/>
        <w:rPr>
          <w:b/>
          <w:sz w:val="28"/>
          <w:szCs w:val="28"/>
        </w:rPr>
      </w:pPr>
      <w:r>
        <w:rPr>
          <w:b/>
          <w:sz w:val="28"/>
          <w:szCs w:val="28"/>
        </w:rPr>
        <w:t>Goals and Activities for 2026:</w:t>
      </w:r>
    </w:p>
    <w:p>
      <w:pPr>
        <w:pStyle w:val="Normal"/>
        <w:rPr>
          <w:b/>
          <w:sz w:val="28"/>
          <w:szCs w:val="28"/>
        </w:rPr>
      </w:pPr>
      <w:r>
        <w:rPr>
          <w:b/>
          <w:sz w:val="28"/>
          <w:szCs w:val="28"/>
        </w:rPr>
      </w:r>
    </w:p>
    <w:p>
      <w:pPr>
        <w:pStyle w:val="Normal"/>
        <w:rPr>
          <w:b/>
          <w:sz w:val="28"/>
          <w:szCs w:val="28"/>
        </w:rPr>
      </w:pPr>
      <w:r>
        <w:rPr>
          <w:b/>
        </w:rPr>
        <w:t xml:space="preserve">Please provide goals and associated activities you wish to attain during the 2026 Calendar year. Activities are considered </w:t>
      </w:r>
      <w:r>
        <w:rPr/>
        <w:t>concrete events, actions, and outputs (research, papers, reports) that the group wishes to conduct in 2025.</w:t>
      </w:r>
    </w:p>
    <w:p>
      <w:pPr>
        <w:pStyle w:val="Normal"/>
        <w:rPr>
          <w:sz w:val="30"/>
          <w:szCs w:val="30"/>
        </w:rPr>
      </w:pPr>
      <w:r>
        <w:rPr>
          <w:sz w:val="12"/>
          <w:szCs w:val="12"/>
        </w:rPr>
        <w:t xml:space="preserve">  </w:t>
      </w:r>
    </w:p>
    <w:tbl>
      <w:tblPr>
        <w:tblStyle w:val="a2"/>
        <w:tblW w:w="9675" w:type="dxa"/>
        <w:jc w:val="left"/>
        <w:tblInd w:w="108" w:type="dxa"/>
        <w:tblLayout w:type="fixed"/>
        <w:tblCellMar>
          <w:top w:w="0" w:type="dxa"/>
          <w:left w:w="108" w:type="dxa"/>
          <w:bottom w:w="0" w:type="dxa"/>
          <w:right w:w="108" w:type="dxa"/>
        </w:tblCellMar>
        <w:tblLook w:val="0400" w:noHBand="0" w:noVBand="1" w:firstColumn="0" w:lastRow="0" w:lastColumn="0" w:firstRow="0"/>
      </w:tblPr>
      <w:tblGrid>
        <w:gridCol w:w="4905"/>
        <w:gridCol w:w="4770"/>
      </w:tblGrid>
      <w:tr>
        <w:trPr/>
        <w:tc>
          <w:tcPr>
            <w:tcW w:w="4905"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120" w:after="120"/>
              <w:rPr>
                <w:b/>
                <w:sz w:val="22"/>
                <w:szCs w:val="22"/>
              </w:rPr>
            </w:pPr>
            <w:r>
              <w:rPr>
                <w:b/>
                <w:sz w:val="22"/>
                <w:szCs w:val="22"/>
              </w:rPr>
              <w:t>Goal</w:t>
            </w:r>
          </w:p>
          <w:p>
            <w:pPr>
              <w:pStyle w:val="Normal"/>
              <w:spacing w:before="120" w:after="120"/>
              <w:rPr>
                <w:b/>
                <w:sz w:val="22"/>
                <w:szCs w:val="22"/>
              </w:rPr>
            </w:pPr>
            <w:r>
              <w:rPr>
                <w:b/>
                <w:sz w:val="22"/>
                <w:szCs w:val="22"/>
              </w:rPr>
            </w:r>
          </w:p>
        </w:tc>
        <w:tc>
          <w:tcPr>
            <w:tcW w:w="47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120" w:after="120"/>
              <w:rPr>
                <w:b/>
                <w:sz w:val="22"/>
                <w:szCs w:val="22"/>
              </w:rPr>
            </w:pPr>
            <w:r>
              <w:rPr>
                <w:b/>
                <w:sz w:val="22"/>
                <w:szCs w:val="22"/>
              </w:rPr>
              <w:t>Activity</w:t>
            </w:r>
          </w:p>
        </w:tc>
      </w:tr>
      <w:tr>
        <w:trPr/>
        <w:tc>
          <w:tcPr>
            <w:tcW w:w="49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t xml:space="preserve">Standardize and promote an updated and canonical </w:t>
            </w:r>
            <w:bookmarkStart w:id="0" w:name="__DdeLink__369_807431370"/>
            <w:r>
              <w:rPr>
                <w:b/>
                <w:bCs/>
                <w:sz w:val="22"/>
                <w:szCs w:val="22"/>
              </w:rPr>
              <w:t>Network Commons License</w:t>
            </w:r>
            <w:bookmarkEnd w:id="0"/>
            <w:r>
              <w:rPr>
                <w:sz w:val="22"/>
                <w:szCs w:val="22"/>
              </w:rPr>
              <w:t xml:space="preserve"> for clearly laying out benefits and obligations of participating in an open, free community networks.</w:t>
            </w:r>
          </w:p>
        </w:tc>
        <w:tc>
          <w:tcPr>
            <w:tcW w:w="47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t xml:space="preserve">To consolidate a standard network commons license from the PicoPeering Agreement and various forks and variations that evolved from that such as existing versions and variations of the Network Commons License that evolved from the PPA used by many community networks around the globe. Seek legal and standards management advice from FSF, etc. Consult with other standards bodies for adoption processes. Create canonical git repository for change control and standards management. </w:t>
            </w:r>
            <w:r>
              <w:rPr>
                <w:i/>
                <w:iCs/>
                <w:sz w:val="22"/>
                <w:szCs w:val="22"/>
              </w:rPr>
              <w:t>Translate into local languages of participating CN groups as required</w:t>
            </w:r>
            <w:r>
              <w:rPr>
                <w:sz w:val="22"/>
                <w:szCs w:val="22"/>
              </w:rPr>
              <w:t>. Promote participation and take up though mailing lists, web sites, related events and social networks aligned with community networking.</w:t>
            </w:r>
          </w:p>
        </w:tc>
      </w:tr>
      <w:tr>
        <w:trPr/>
        <w:tc>
          <w:tcPr>
            <w:tcW w:w="49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center" w:pos="888" w:leader="none"/>
              </w:tabs>
              <w:spacing w:before="120" w:after="120"/>
              <w:rPr>
                <w:sz w:val="22"/>
                <w:szCs w:val="22"/>
              </w:rPr>
            </w:pPr>
            <w:r>
              <w:rPr>
                <w:b/>
                <w:bCs/>
                <w:sz w:val="22"/>
                <w:szCs w:val="22"/>
              </w:rPr>
              <w:t>Create a research repository on CNs</w:t>
            </w:r>
            <w:r>
              <w:rPr>
                <w:sz w:val="22"/>
                <w:szCs w:val="22"/>
              </w:rPr>
              <w:t xml:space="preserve"> based on a network and community typology and a </w:t>
            </w:r>
            <w:r>
              <w:rPr>
                <w:b/>
                <w:bCs/>
                <w:sz w:val="22"/>
                <w:szCs w:val="22"/>
              </w:rPr>
              <w:t>contact database of practitioners</w:t>
            </w:r>
            <w:r>
              <w:rPr>
                <w:sz w:val="22"/>
                <w:szCs w:val="22"/>
              </w:rPr>
              <w:t xml:space="preserve"> associated with them.</w:t>
            </w:r>
          </w:p>
        </w:tc>
        <w:tc>
          <w:tcPr>
            <w:tcW w:w="47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rFonts w:ascii="calibri" w:hAnsi="calibri"/>
                <w:sz w:val="22"/>
                <w:szCs w:val="22"/>
              </w:rPr>
            </w:pPr>
            <w:r>
              <w:rPr>
                <w:rFonts w:ascii="calibri" w:hAnsi="calibri"/>
                <w:b w:val="false"/>
                <w:outline w:val="false"/>
                <w:color w:val="auto"/>
                <w:spacing w:val="0"/>
                <w:kern w:val="0"/>
                <w:sz w:val="22"/>
                <w:szCs w:val="22"/>
              </w:rPr>
              <w:t>To collate existing resources on CNs into a repository based on network and community typology (e.g., locale, geographic proximity, cultural similarities, business model, etc.), to provide interested communities with curated lists of existing examples globally and a contact database of practitioners associated with them, to enable peer learning. To be contextualised through several in-depth case studies.</w:t>
            </w:r>
          </w:p>
        </w:tc>
      </w:tr>
      <w:tr>
        <w:trPr/>
        <w:tc>
          <w:tcPr>
            <w:tcW w:w="49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b/>
                <w:bCs/>
                <w:sz w:val="22"/>
                <w:szCs w:val="22"/>
              </w:rPr>
              <w:t>Online CN networking event series</w:t>
            </w:r>
            <w:r>
              <w:rPr>
                <w:sz w:val="22"/>
                <w:szCs w:val="22"/>
              </w:rPr>
              <w:t xml:space="preserve"> for </w:t>
            </w:r>
            <w:r>
              <w:rPr>
                <w:b/>
                <w:bCs/>
                <w:sz w:val="22"/>
                <w:szCs w:val="22"/>
              </w:rPr>
              <w:t xml:space="preserve">regional and cross-regional gatherings </w:t>
            </w:r>
            <w:r>
              <w:rPr>
                <w:sz w:val="22"/>
                <w:szCs w:val="22"/>
              </w:rPr>
              <w:t>to support and foster connection building of CN organisations and individuals at the international circuit of existing festivals, conferences and community gatherings (e.g. Re:publica, The Digital Rights Global Gathering (GG), ICT4D conference, Open hardware summit , Battlemesh, Dweb Camp, Local First Camp, World Social Forum, Rightscon, Critical Computing Conference).</w:t>
            </w:r>
          </w:p>
        </w:tc>
        <w:tc>
          <w:tcPr>
            <w:tcW w:w="47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t>To develop and run an online event format to allow for regional and cross-regional gatherings to interconnect practitioners and communities and stimulate peer learning and international networking.</w:t>
            </w:r>
          </w:p>
        </w:tc>
      </w:tr>
      <w:tr>
        <w:trPr/>
        <w:tc>
          <w:tcPr>
            <w:tcW w:w="49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b/>
                <w:bCs/>
                <w:sz w:val="22"/>
                <w:szCs w:val="22"/>
              </w:rPr>
              <w:t>Create opportunities for CNI to participate in relevant debates and co-creation dynamics as protagonists and thereby multiply opportunities for joint learning, collaboration and funding of crucial CN infrastructures.</w:t>
            </w:r>
            <w:r>
              <w:rPr>
                <w:sz w:val="22"/>
                <w:szCs w:val="22"/>
              </w:rPr>
              <w:t xml:space="preserve"> to engage in events programs (own sessions or participation in panels to create more awareness for community centered connectivity) and to create onsite spaces for exchange and co-creation of proposals and collaboration happening before/during/after events to benefit from the presence of relevant stakeholders.</w:t>
            </w:r>
          </w:p>
        </w:tc>
        <w:tc>
          <w:tcPr>
            <w:tcW w:w="47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t>Create opportunities for CNI to participate in relevant debates and co-creation dynamics as protagonists and thereby multiply opportunities for joint learning, collaboration and funding of crucial CN infrastructures.</w:t>
            </w:r>
          </w:p>
        </w:tc>
      </w:tr>
      <w:tr>
        <w:trPr/>
        <w:tc>
          <w:tcPr>
            <w:tcW w:w="49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t>Topic based and community based knowledge gathering and documentation, solutions development and testing, education and connection building.</w:t>
            </w:r>
          </w:p>
          <w:p>
            <w:pPr>
              <w:pStyle w:val="Normal"/>
              <w:spacing w:before="120" w:after="120"/>
              <w:rPr>
                <w:sz w:val="22"/>
                <w:szCs w:val="22"/>
              </w:rPr>
            </w:pPr>
            <w:r>
              <w:rPr>
                <w:sz w:val="22"/>
                <w:szCs w:val="22"/>
              </w:rPr>
              <w:t>Each event shall approach a topic which is substantial to a significant part of the communities.</w:t>
            </w:r>
          </w:p>
        </w:tc>
        <w:tc>
          <w:tcPr>
            <w:tcW w:w="47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t>In person events for knowledge sharing, knowledge gathering, testing and connection building.</w:t>
            </w:r>
          </w:p>
          <w:p>
            <w:pPr>
              <w:pStyle w:val="Normal"/>
              <w:spacing w:before="120" w:after="120"/>
              <w:rPr>
                <w:sz w:val="22"/>
                <w:szCs w:val="22"/>
              </w:rPr>
            </w:pPr>
            <w:r>
              <w:rPr>
                <w:sz w:val="22"/>
                <w:szCs w:val="22"/>
              </w:rPr>
              <w:t>People will meet during international events, and local topic based events which all gather various stakeholders of the communities.</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t>Each event will be one of the following types:</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t>- workshops for knowledge gathering and documentation</w:t>
            </w:r>
          </w:p>
          <w:p>
            <w:pPr>
              <w:pStyle w:val="Normal"/>
              <w:spacing w:before="120" w:after="120"/>
              <w:rPr>
                <w:sz w:val="22"/>
                <w:szCs w:val="22"/>
              </w:rPr>
            </w:pPr>
            <w:r>
              <w:rPr>
                <w:sz w:val="22"/>
                <w:szCs w:val="22"/>
              </w:rPr>
              <w:t>- solution development and testing workshops</w:t>
            </w:r>
          </w:p>
          <w:p>
            <w:pPr>
              <w:pStyle w:val="Normal"/>
              <w:spacing w:before="120" w:after="120"/>
              <w:rPr>
                <w:sz w:val="22"/>
                <w:szCs w:val="22"/>
              </w:rPr>
            </w:pPr>
            <w:r>
              <w:rPr>
                <w:sz w:val="22"/>
                <w:szCs w:val="22"/>
              </w:rPr>
              <w:t>- topic based educational talks and panels</w:t>
            </w:r>
          </w:p>
          <w:p>
            <w:pPr>
              <w:pStyle w:val="Normal"/>
              <w:spacing w:before="120" w:after="120"/>
              <w:rPr>
                <w:sz w:val="22"/>
                <w:szCs w:val="22"/>
              </w:rPr>
            </w:pPr>
            <w:r>
              <w:rPr>
                <w:sz w:val="22"/>
                <w:szCs w:val="22"/>
              </w:rPr>
              <w:t>- connection building events at intersectional international conferences</w:t>
            </w:r>
          </w:p>
        </w:tc>
      </w:tr>
      <w:tr>
        <w:trPr/>
        <w:tc>
          <w:tcPr>
            <w:tcW w:w="49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r>
          </w:p>
        </w:tc>
        <w:tc>
          <w:tcPr>
            <w:tcW w:w="477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120" w:after="120"/>
              <w:rPr>
                <w:sz w:val="22"/>
                <w:szCs w:val="22"/>
              </w:rPr>
            </w:pPr>
            <w:r>
              <w:rPr>
                <w:sz w:val="22"/>
                <w:szCs w:val="22"/>
              </w:rPr>
            </w:r>
          </w:p>
        </w:tc>
      </w:tr>
    </w:tbl>
    <w:p>
      <w:pPr>
        <w:pStyle w:val="Normal"/>
        <w:rPr>
          <w:sz w:val="22"/>
          <w:szCs w:val="22"/>
        </w:rPr>
      </w:pPr>
      <w:r>
        <w:rPr>
          <w:sz w:val="22"/>
          <w:szCs w:val="22"/>
        </w:rPr>
      </w:r>
    </w:p>
    <w:p>
      <w:pPr>
        <w:pStyle w:val="Normal"/>
        <w:rPr>
          <w:sz w:val="22"/>
          <w:szCs w:val="22"/>
        </w:rPr>
      </w:pPr>
      <w:r>
        <w:rPr>
          <w:sz w:val="22"/>
          <w:szCs w:val="22"/>
        </w:rPr>
      </w:r>
    </w:p>
    <w:p>
      <w:pPr>
        <w:pStyle w:val="Normal"/>
        <w:rPr/>
      </w:pPr>
      <w:r>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t>Activities and Estimated Budget</w:t>
      </w:r>
    </w:p>
    <w:p>
      <w:pPr>
        <w:pStyle w:val="Normal"/>
        <w:rPr>
          <w:b/>
          <w:sz w:val="28"/>
          <w:szCs w:val="28"/>
        </w:rPr>
      </w:pPr>
      <w:r>
        <w:rPr>
          <w:b/>
          <w:sz w:val="28"/>
          <w:szCs w:val="28"/>
        </w:rPr>
      </w:r>
    </w:p>
    <w:p>
      <w:pPr>
        <w:pStyle w:val="Normal"/>
        <w:rPr>
          <w:bCs/>
        </w:rPr>
      </w:pPr>
      <w:r>
        <w:rPr>
          <w:bCs/>
        </w:rPr>
        <w:t>Please provide a detailed description of your proposed activities. The budget should be used only for activities that are globally inclusive.   Physical activities can occur and need to have a local implementation partner where SIG/SG partners with a local chapter or community partner.</w:t>
      </w:r>
    </w:p>
    <w:p>
      <w:pPr>
        <w:pStyle w:val="Normal"/>
        <w:rPr/>
      </w:pPr>
      <w:r>
        <w:rPr>
          <w:color w:val="000000"/>
        </w:rPr>
        <w:t xml:space="preserve"> </w:t>
      </w:r>
    </w:p>
    <w:tbl>
      <w:tblPr>
        <w:tblW w:w="9630" w:type="dxa"/>
        <w:jc w:val="left"/>
        <w:tblInd w:w="108" w:type="dxa"/>
        <w:tblLayout w:type="fixed"/>
        <w:tblCellMar>
          <w:top w:w="0" w:type="dxa"/>
          <w:left w:w="108" w:type="dxa"/>
          <w:bottom w:w="0" w:type="dxa"/>
          <w:right w:w="108" w:type="dxa"/>
        </w:tblCellMar>
        <w:tblLook w:val="0400" w:noHBand="0" w:noVBand="1" w:firstColumn="0" w:lastRow="0" w:lastColumn="0" w:firstRow="0"/>
      </w:tblPr>
      <w:tblGrid>
        <w:gridCol w:w="720"/>
        <w:gridCol w:w="1518"/>
        <w:gridCol w:w="1900"/>
        <w:gridCol w:w="4232"/>
        <w:gridCol w:w="1260"/>
      </w:tblGrid>
      <w:tr>
        <w:trPr/>
        <w:tc>
          <w:tcPr>
            <w:tcW w:w="720"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sz w:val="22"/>
                <w:szCs w:val="22"/>
              </w:rPr>
              <w:t>Item No.</w:t>
            </w:r>
          </w:p>
        </w:tc>
        <w:tc>
          <w:tcPr>
            <w:tcW w:w="1518"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sz w:val="22"/>
                <w:szCs w:val="22"/>
              </w:rPr>
              <w:t>Activity Name</w:t>
            </w:r>
          </w:p>
        </w:tc>
        <w:tc>
          <w:tcPr>
            <w:tcW w:w="1900"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sz w:val="22"/>
                <w:szCs w:val="22"/>
              </w:rPr>
              <w:t>Description</w:t>
            </w:r>
          </w:p>
        </w:tc>
        <w:tc>
          <w:tcPr>
            <w:tcW w:w="4232"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sz w:val="22"/>
                <w:szCs w:val="22"/>
              </w:rPr>
              <w:t>Local Implementation Partner</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sz w:val="22"/>
                <w:szCs w:val="22"/>
              </w:rPr>
              <w:t>Total Cost (USD)</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sz w:val="22"/>
                <w:szCs w:val="22"/>
              </w:rPr>
              <w:t>1</w:t>
            </w:r>
          </w:p>
        </w:tc>
        <w:tc>
          <w:tcPr>
            <w:tcW w:w="1518" w:type="dxa"/>
            <w:tcBorders>
              <w:top w:val="single" w:sz="4" w:space="0" w:color="000000"/>
              <w:left w:val="single" w:sz="4" w:space="0" w:color="000000"/>
              <w:bottom w:val="single" w:sz="4" w:space="0" w:color="000000"/>
              <w:right w:val="single" w:sz="4" w:space="0" w:color="000000"/>
            </w:tcBorders>
          </w:tcPr>
          <w:p>
            <w:pPr>
              <w:pStyle w:val="Normal"/>
              <w:rPr>
                <w:color w:val="auto"/>
              </w:rPr>
            </w:pPr>
            <w:r>
              <w:rPr>
                <w:rFonts w:ascii="Source Sans Pro;Arial;sans-serif" w:hAnsi="Source Sans Pro;Arial;sans-serif"/>
                <w:b w:val="false"/>
                <w:bCs w:val="false"/>
                <w:i w:val="false"/>
                <w:caps w:val="false"/>
                <w:smallCaps w:val="false"/>
                <w:color w:val="auto"/>
                <w:spacing w:val="0"/>
                <w:sz w:val="21"/>
              </w:rPr>
              <w:t>CNI FIRESIDE Talks – 1x monthly - June -October</w:t>
            </w:r>
          </w:p>
        </w:tc>
        <w:tc>
          <w:tcPr>
            <w:tcW w:w="1900" w:type="dxa"/>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sz w:val="22"/>
                <w:szCs w:val="22"/>
              </w:rPr>
              <w:t>Speaker Honorarium</w:t>
            </w:r>
          </w:p>
          <w:p>
            <w:pPr>
              <w:pStyle w:val="Normal"/>
              <w:rPr>
                <w:color w:val="auto"/>
                <w:sz w:val="22"/>
                <w:szCs w:val="22"/>
              </w:rPr>
            </w:pPr>
            <w:r>
              <w:rPr>
                <w:color w:val="auto"/>
                <w:sz w:val="22"/>
                <w:szCs w:val="22"/>
              </w:rPr>
            </w:r>
          </w:p>
          <w:p>
            <w:pPr>
              <w:pStyle w:val="Normal"/>
              <w:rPr>
                <w:color w:val="auto"/>
              </w:rPr>
            </w:pPr>
            <w:hyperlink r:id="rId2">
              <w:bookmarkStart w:id="1" w:name="__DdeLink__191_3110704184"/>
              <w:r>
                <w:rPr>
                  <w:rStyle w:val="Hyperlink"/>
                  <w:color w:val="auto"/>
                  <w:sz w:val="22"/>
                  <w:szCs w:val="22"/>
                </w:rPr>
                <w:t>https://www.asauthors.org.au/rates-of-pay/</w:t>
              </w:r>
            </w:hyperlink>
            <w:bookmarkEnd w:id="1"/>
          </w:p>
          <w:p>
            <w:pPr>
              <w:pStyle w:val="Normal"/>
              <w:rPr>
                <w:color w:val="auto"/>
              </w:rPr>
            </w:pPr>
            <w:r>
              <w:rPr>
                <w:color w:val="auto"/>
                <w:sz w:val="22"/>
                <w:szCs w:val="22"/>
              </w:rPr>
            </w:r>
          </w:p>
          <w:p>
            <w:pPr>
              <w:pStyle w:val="Normal"/>
              <w:rPr>
                <w:color w:val="auto"/>
              </w:rPr>
            </w:pPr>
            <w:r>
              <w:rPr>
                <w:color w:val="auto"/>
                <w:sz w:val="22"/>
                <w:szCs w:val="22"/>
              </w:rPr>
              <w:t>700 USD for 7 Events</w:t>
            </w:r>
          </w:p>
        </w:tc>
        <w:tc>
          <w:tcPr>
            <w:tcW w:w="4232" w:type="dxa"/>
            <w:tcBorders>
              <w:top w:val="single" w:sz="4" w:space="0" w:color="000000"/>
              <w:left w:val="single" w:sz="4" w:space="0" w:color="000000"/>
              <w:bottom w:val="single" w:sz="4" w:space="0" w:color="000000"/>
              <w:right w:val="single" w:sz="4" w:space="0" w:color="000000"/>
            </w:tcBorders>
          </w:tcPr>
          <w:p>
            <w:pPr>
              <w:pStyle w:val="Normal"/>
              <w:rPr>
                <w:color w:val="auto"/>
              </w:rPr>
            </w:pPr>
            <w:bookmarkStart w:id="2" w:name="__DdeLink__163_807431370"/>
            <w:r>
              <w:rPr>
                <w:color w:val="auto"/>
                <w:sz w:val="22"/>
                <w:szCs w:val="22"/>
              </w:rPr>
              <w:t>CNI -Oceancia_Pacific_Asia CNI_OPA</w:t>
            </w:r>
            <w:bookmarkEnd w:id="2"/>
          </w:p>
          <w:p>
            <w:pPr>
              <w:pStyle w:val="Normal"/>
              <w:rPr>
                <w:color w:val="auto"/>
              </w:rPr>
            </w:pPr>
            <w:r>
              <w:rPr>
                <w:color w:val="auto"/>
                <w:sz w:val="22"/>
                <w:szCs w:val="22"/>
              </w:rPr>
              <w:t>[potentially can include ISOC-APAC_TBC ISOC_Gender]</w:t>
            </w:r>
          </w:p>
          <w:p>
            <w:pPr>
              <w:pStyle w:val="Normal"/>
              <w:rPr>
                <w:color w:val="auto"/>
              </w:rPr>
            </w:pPr>
            <w:r>
              <w:rPr>
                <w:color w:val="auto"/>
                <w:sz w:val="22"/>
                <w:szCs w:val="22"/>
              </w:rPr>
            </w:r>
          </w:p>
          <w:p>
            <w:pPr>
              <w:pStyle w:val="Normal"/>
              <w:rPr>
                <w:color w:val="auto"/>
              </w:rPr>
            </w:pPr>
            <w:r>
              <w:rPr>
                <w:color w:val="auto"/>
                <w:sz w:val="22"/>
                <w:szCs w:val="22"/>
              </w:rPr>
              <w:t>ISOC Australia</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uto" w:line="259"/>
              <w:rPr>
                <w:sz w:val="22"/>
                <w:szCs w:val="22"/>
              </w:rPr>
            </w:pPr>
            <w:r>
              <w:rPr>
                <w:sz w:val="22"/>
                <w:szCs w:val="22"/>
              </w:rPr>
              <w:t>5000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sz w:val="22"/>
                <w:szCs w:val="22"/>
              </w:rPr>
              <w:t>2</w:t>
            </w:r>
          </w:p>
        </w:tc>
        <w:tc>
          <w:tcPr>
            <w:tcW w:w="151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CNI Merchandise:</w:t>
            </w:r>
          </w:p>
          <w:p>
            <w:pPr>
              <w:pStyle w:val="Normal"/>
              <w:rPr>
                <w:sz w:val="22"/>
                <w:szCs w:val="22"/>
              </w:rPr>
            </w:pPr>
            <w:r>
              <w:rPr>
                <w:sz w:val="22"/>
                <w:szCs w:val="22"/>
              </w:rPr>
              <w:t>tote bags, T-shirts, stickers, patch,  compact booklet.</w:t>
            </w:r>
          </w:p>
        </w:tc>
        <w:tc>
          <w:tcPr>
            <w:tcW w:w="190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CNI small-run series designed as both material takeaway and distributed communication infrastructure.</w:t>
            </w:r>
          </w:p>
        </w:tc>
        <w:tc>
          <w:tcPr>
            <w:tcW w:w="4232" w:type="dxa"/>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rPr>
              <w:t>ISOC Global</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uto" w:line="259"/>
              <w:rPr/>
            </w:pPr>
            <w:r>
              <w:rPr/>
              <w:t>1000</w:t>
            </w:r>
          </w:p>
          <w:p>
            <w:pPr>
              <w:pStyle w:val="Normal"/>
              <w:spacing w:lineRule="auto" w:line="259"/>
              <w:rPr>
                <w:sz w:val="22"/>
                <w:szCs w:val="22"/>
              </w:rPr>
            </w:pPr>
            <w:r>
              <w:rPr>
                <w:sz w:val="22"/>
                <w:szCs w:val="22"/>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sz w:val="22"/>
                <w:szCs w:val="22"/>
              </w:rPr>
              <w:t>3</w:t>
            </w:r>
          </w:p>
        </w:tc>
        <w:tc>
          <w:tcPr>
            <w:tcW w:w="1518" w:type="dxa"/>
            <w:tcBorders>
              <w:top w:val="single" w:sz="4" w:space="0" w:color="000000"/>
              <w:left w:val="single" w:sz="4" w:space="0" w:color="000000"/>
              <w:bottom w:val="single" w:sz="4" w:space="0" w:color="000000"/>
              <w:right w:val="single" w:sz="4" w:space="0" w:color="000000"/>
            </w:tcBorders>
          </w:tcPr>
          <w:p>
            <w:pPr>
              <w:pStyle w:val="Normal"/>
              <w:spacing w:before="120" w:after="120"/>
              <w:rPr>
                <w:sz w:val="22"/>
                <w:szCs w:val="22"/>
              </w:rPr>
            </w:pPr>
            <w:r>
              <w:rPr>
                <w:sz w:val="22"/>
                <w:szCs w:val="22"/>
              </w:rPr>
              <w:t>Network Commons License &amp; tool development</w:t>
            </w:r>
          </w:p>
        </w:tc>
        <w:tc>
          <w:tcPr>
            <w:tcW w:w="1900" w:type="dxa"/>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sz w:val="22"/>
                <w:szCs w:val="22"/>
              </w:rPr>
              <w:t>Drafting</w:t>
            </w:r>
          </w:p>
          <w:p>
            <w:pPr>
              <w:pStyle w:val="Normal"/>
              <w:rPr>
                <w:color w:val="auto"/>
              </w:rPr>
            </w:pPr>
            <w:r>
              <w:rPr>
                <w:color w:val="auto"/>
                <w:sz w:val="22"/>
                <w:szCs w:val="22"/>
              </w:rPr>
              <w:t>Stewardship</w:t>
            </w:r>
          </w:p>
          <w:p>
            <w:pPr>
              <w:pStyle w:val="Normal"/>
              <w:rPr>
                <w:color w:val="auto"/>
              </w:rPr>
            </w:pPr>
            <w:r>
              <w:rPr>
                <w:color w:val="auto"/>
                <w:sz w:val="22"/>
                <w:szCs w:val="22"/>
              </w:rPr>
              <w:t>Change Procedure</w:t>
            </w:r>
          </w:p>
          <w:p>
            <w:pPr>
              <w:pStyle w:val="Normal"/>
              <w:rPr>
                <w:color w:val="auto"/>
              </w:rPr>
            </w:pPr>
            <w:r>
              <w:rPr>
                <w:color w:val="auto"/>
                <w:sz w:val="22"/>
                <w:szCs w:val="22"/>
              </w:rPr>
              <w:t>Translation</w:t>
            </w:r>
          </w:p>
          <w:p>
            <w:pPr>
              <w:pStyle w:val="Normal"/>
              <w:rPr>
                <w:color w:val="auto"/>
              </w:rPr>
            </w:pPr>
            <w:r>
              <w:rPr>
                <w:color w:val="auto"/>
                <w:sz w:val="22"/>
                <w:szCs w:val="22"/>
              </w:rPr>
              <w:t>Publishing</w:t>
            </w:r>
          </w:p>
          <w:p>
            <w:pPr>
              <w:pStyle w:val="Normal"/>
              <w:rPr>
                <w:color w:val="auto"/>
              </w:rPr>
            </w:pPr>
            <w:r>
              <w:rPr>
                <w:color w:val="auto"/>
                <w:sz w:val="22"/>
                <w:szCs w:val="22"/>
              </w:rPr>
              <w:t>Mapping of Community Networks: We will employ a researcher to create the tools</w:t>
            </w:r>
          </w:p>
        </w:tc>
        <w:tc>
          <w:tcPr>
            <w:tcW w:w="4232" w:type="dxa"/>
            <w:tcBorders>
              <w:top w:val="single" w:sz="4" w:space="0" w:color="000000"/>
              <w:left w:val="single" w:sz="4" w:space="0" w:color="000000"/>
              <w:bottom w:val="single" w:sz="4" w:space="0" w:color="000000"/>
              <w:right w:val="single" w:sz="4" w:space="0" w:color="000000"/>
            </w:tcBorders>
          </w:tcPr>
          <w:p>
            <w:pPr>
              <w:pStyle w:val="Normal"/>
              <w:rPr>
                <w:color w:val="FFFFFF"/>
                <w:sz w:val="22"/>
                <w:szCs w:val="22"/>
              </w:rPr>
            </w:pPr>
            <w:r>
              <w:rPr>
                <w:color w:val="FFFFFF"/>
                <w:sz w:val="22"/>
                <w:szCs w:val="22"/>
              </w:rPr>
              <w:t>ISOC Global</w:t>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4000</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4</w:t>
            </w:r>
          </w:p>
        </w:tc>
        <w:tc>
          <w:tcPr>
            <w:tcW w:w="151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In person events</w:t>
            </w:r>
          </w:p>
        </w:tc>
        <w:tc>
          <w:tcPr>
            <w:tcW w:w="190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 xml:space="preserve">Example Costs: </w:t>
              <w:br/>
              <w:t>10 Events:</w:t>
            </w:r>
          </w:p>
          <w:p>
            <w:pPr>
              <w:pStyle w:val="Normal"/>
              <w:rPr>
                <w:sz w:val="22"/>
                <w:szCs w:val="22"/>
              </w:rPr>
            </w:pPr>
            <w:r>
              <w:rPr>
                <w:sz w:val="22"/>
                <w:szCs w:val="22"/>
              </w:rPr>
              <w:t>Speaker Fees: 250-500USD</w:t>
            </w:r>
          </w:p>
          <w:p>
            <w:pPr>
              <w:pStyle w:val="Normal"/>
              <w:rPr>
                <w:sz w:val="22"/>
                <w:szCs w:val="22"/>
              </w:rPr>
            </w:pPr>
            <w:r>
              <w:rPr>
                <w:sz w:val="22"/>
                <w:szCs w:val="22"/>
              </w:rPr>
              <w:t>Room rent:</w:t>
            </w:r>
          </w:p>
          <w:p>
            <w:pPr>
              <w:pStyle w:val="Normal"/>
              <w:rPr>
                <w:sz w:val="22"/>
                <w:szCs w:val="22"/>
              </w:rPr>
            </w:pPr>
            <w:r>
              <w:rPr>
                <w:sz w:val="22"/>
                <w:szCs w:val="22"/>
              </w:rPr>
              <w:t>Technical Equipment: 250 USD</w:t>
            </w:r>
          </w:p>
          <w:p>
            <w:pPr>
              <w:pStyle w:val="Normal"/>
              <w:rPr>
                <w:sz w:val="22"/>
                <w:szCs w:val="22"/>
              </w:rPr>
            </w:pPr>
            <w:r>
              <w:rPr>
                <w:sz w:val="22"/>
                <w:szCs w:val="22"/>
              </w:rPr>
              <w:t>Receptions: 250 USD</w:t>
            </w:r>
          </w:p>
          <w:p>
            <w:pPr>
              <w:pStyle w:val="Normal"/>
              <w:rPr>
                <w:sz w:val="22"/>
                <w:szCs w:val="22"/>
              </w:rPr>
            </w:pPr>
            <w:r>
              <w:rPr>
                <w:sz w:val="22"/>
                <w:szCs w:val="22"/>
              </w:rPr>
              <w:t>Not every event has the same cost mix. Approx 300-1500 USD per event.</w:t>
            </w:r>
          </w:p>
        </w:tc>
        <w:tc>
          <w:tcPr>
            <w:tcW w:w="423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For international events ISOC will be the direct partner. Local events which target communities from within a specific country or region will be done in collaboration with local ISOC Chapters.</w:t>
            </w:r>
          </w:p>
        </w:tc>
        <w:tc>
          <w:tcPr>
            <w:tcW w:w="1260" w:type="dxa"/>
            <w:tcBorders>
              <w:top w:val="single" w:sz="4" w:space="0" w:color="000000"/>
              <w:left w:val="single" w:sz="4" w:space="0" w:color="000000"/>
              <w:bottom w:val="single" w:sz="4" w:space="0" w:color="000000"/>
              <w:right w:val="single" w:sz="4" w:space="0" w:color="000000"/>
            </w:tcBorders>
          </w:tcPr>
          <w:p>
            <w:pPr>
              <w:pStyle w:val="Normal"/>
              <w:rPr>
                <w:color w:val="auto"/>
                <w:sz w:val="22"/>
                <w:szCs w:val="22"/>
              </w:rPr>
            </w:pPr>
            <w:r>
              <w:rPr>
                <w:color w:val="auto"/>
                <w:sz w:val="22"/>
                <w:szCs w:val="22"/>
              </w:rPr>
              <w:t>5000</w:t>
            </w:r>
          </w:p>
        </w:tc>
      </w:tr>
      <w:tr>
        <w:trPr>
          <w:trHeight w:val="300" w:hRule="atLeast"/>
        </w:trPr>
        <w:tc>
          <w:tcPr>
            <w:tcW w:w="72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18"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90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Total</w:t>
            </w:r>
          </w:p>
        </w:tc>
        <w:tc>
          <w:tcPr>
            <w:tcW w:w="423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15000</w:t>
            </w:r>
          </w:p>
        </w:tc>
      </w:tr>
    </w:tbl>
    <w:p>
      <w:pPr>
        <w:pStyle w:val="Normal"/>
        <w:rPr>
          <w:sz w:val="22"/>
          <w:szCs w:val="22"/>
        </w:rPr>
      </w:pPr>
      <w:r>
        <w:rPr>
          <w:sz w:val="22"/>
          <w:szCs w:val="22"/>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swiss"/>
    <w:pitch w:val="variable"/>
  </w:font>
  <w:font w:name="Calibri Light">
    <w:charset w:val="01"/>
    <w:family w:val="swiss"/>
    <w:pitch w:val="variable"/>
  </w:font>
  <w:font w:name="Georgia">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swiss"/>
    <w:pitch w:val="variable"/>
  </w:font>
  <w:font w:name="Source Sans Pro">
    <w:altName w:val="Arial"/>
    <w:charset w:val="01"/>
    <w:family w:val="swiss"/>
    <w:pitch w:val="variable"/>
  </w:font>
  <w:font w:name="Hind">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
      <w:tabs>
        <w:tab w:val="clear" w:pos="720"/>
        <w:tab w:val="center" w:pos="4680" w:leader="none"/>
        <w:tab w:val="right" w:pos="9360" w:leader="none"/>
      </w:tabs>
      <w:ind w:right="360"/>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4</w:t>
    </w:r>
    <w:r>
      <w:rPr>
        <w:color w:val="000000"/>
      </w:rPr>
      <w:fldChar w:fldCharType="end"/>
    </w:r>
  </w:p>
  <w:p>
    <w:pPr>
      <w:pStyle w:val="Normal"/>
      <w:tabs>
        <w:tab w:val="clear" w:pos="720"/>
        <w:tab w:val="center" w:pos="4680" w:leader="none"/>
        <w:tab w:val="right" w:pos="9360" w:leader="none"/>
      </w:tabs>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4</w:t>
    </w:r>
    <w:r>
      <w:rPr>
        <w:color w:val="000000"/>
      </w:rPr>
      <w:fldChar w:fldCharType="end"/>
    </w:r>
  </w:p>
  <w:p>
    <w:pPr>
      <w:pStyle w:val="Normal"/>
      <w:tabs>
        <w:tab w:val="clear" w:pos="720"/>
        <w:tab w:val="center" w:pos="4680" w:leader="none"/>
        <w:tab w:val="right" w:pos="9360" w:leader="none"/>
      </w:tabs>
      <w:ind w:right="36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rPr>
        <w:sz w:val="22"/>
        <w:szCs w:val="22"/>
      </w:rPr>
    </w:pPr>
    <w:r>
      <w:rPr>
        <w:sz w:val="22"/>
        <w:szCs w:val="22"/>
      </w:rPr>
    </w:r>
  </w:p>
  <w:tbl>
    <w:tblPr>
      <w:tblStyle w:val="a4"/>
      <w:tblW w:w="9360" w:type="dxa"/>
      <w:jc w:val="left"/>
      <w:tblInd w:w="108" w:type="dxa"/>
      <w:tblLayout w:type="fixed"/>
      <w:tblCellMar>
        <w:top w:w="0" w:type="dxa"/>
        <w:left w:w="108" w:type="dxa"/>
        <w:bottom w:w="0" w:type="dxa"/>
        <w:right w:w="108" w:type="dxa"/>
      </w:tblCellMar>
      <w:tblLook w:val="0600" w:noHBand="1" w:noVBand="1" w:firstColumn="0" w:lastRow="0" w:lastColumn="0" w:firstRow="0"/>
    </w:tblPr>
    <w:tblGrid>
      <w:gridCol w:w="3120"/>
      <w:gridCol w:w="3120"/>
      <w:gridCol w:w="3120"/>
    </w:tblGrid>
    <w:tr>
      <w:trPr/>
      <w:tc>
        <w:tcPr>
          <w:tcW w:w="3120" w:type="dxa"/>
          <w:tcBorders/>
        </w:tcPr>
        <w:p>
          <w:pPr>
            <w:pStyle w:val="Normal"/>
            <w:tabs>
              <w:tab w:val="clear" w:pos="720"/>
              <w:tab w:val="center" w:pos="4680" w:leader="none"/>
              <w:tab w:val="right" w:pos="9360" w:leader="none"/>
            </w:tabs>
            <w:ind w:left="-115"/>
            <w:rPr>
              <w:color w:val="000000"/>
            </w:rPr>
          </w:pPr>
          <w:r>
            <w:rPr>
              <w:color w:val="000000"/>
            </w:rPr>
          </w:r>
        </w:p>
      </w:tc>
      <w:tc>
        <w:tcPr>
          <w:tcW w:w="3120" w:type="dxa"/>
          <w:tcBorders/>
        </w:tcPr>
        <w:p>
          <w:pPr>
            <w:pStyle w:val="Normal"/>
            <w:tabs>
              <w:tab w:val="clear" w:pos="720"/>
              <w:tab w:val="center" w:pos="4680" w:leader="none"/>
              <w:tab w:val="right" w:pos="9360" w:leader="none"/>
            </w:tabs>
            <w:jc w:val="center"/>
            <w:rPr>
              <w:color w:val="000000"/>
            </w:rPr>
          </w:pPr>
          <w:r>
            <w:rPr>
              <w:color w:val="000000"/>
            </w:rPr>
          </w:r>
        </w:p>
      </w:tc>
      <w:tc>
        <w:tcPr>
          <w:tcW w:w="3120" w:type="dxa"/>
          <w:tcBorders/>
        </w:tcPr>
        <w:p>
          <w:pPr>
            <w:pStyle w:val="Normal"/>
            <w:tabs>
              <w:tab w:val="clear" w:pos="720"/>
              <w:tab w:val="center" w:pos="4680" w:leader="none"/>
              <w:tab w:val="right" w:pos="9360" w:leader="none"/>
            </w:tabs>
            <w:ind w:right="-115"/>
            <w:jc w:val="right"/>
            <w:rPr>
              <w:rFonts w:ascii="Hind" w:hAnsi="Hind" w:eastAsia="Hind" w:cs="Hind"/>
              <w:b/>
              <w:color w:val="000000"/>
              <w:sz w:val="22"/>
              <w:szCs w:val="22"/>
            </w:rPr>
          </w:pPr>
          <w:r>
            <w:rPr/>
            <w:drawing>
              <wp:inline distT="0" distB="0" distL="0" distR="0">
                <wp:extent cx="1141095" cy="380365"/>
                <wp:effectExtent l="0" t="0" r="0" b="0"/>
                <wp:docPr id="1" name="image1.png" descr="Internet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et Society Logo"/>
                        <pic:cNvPicPr>
                          <a:picLocks noChangeAspect="1" noChangeArrowheads="1"/>
                        </pic:cNvPicPr>
                      </pic:nvPicPr>
                      <pic:blipFill>
                        <a:blip r:embed="rId1"/>
                        <a:stretch>
                          <a:fillRect/>
                        </a:stretch>
                      </pic:blipFill>
                      <pic:spPr bwMode="auto">
                        <a:xfrm>
                          <a:off x="0" y="0"/>
                          <a:ext cx="1141095" cy="380365"/>
                        </a:xfrm>
                        <a:prstGeom prst="rect">
                          <a:avLst/>
                        </a:prstGeom>
                        <a:noFill/>
                      </pic:spPr>
                    </pic:pic>
                  </a:graphicData>
                </a:graphic>
              </wp:inline>
            </w:drawing>
          </w:r>
        </w:p>
      </w:tc>
    </w:tr>
  </w:tbl>
  <w:p>
    <w:pPr>
      <w:pStyle w:val="Normal"/>
      <w:tabs>
        <w:tab w:val="clear" w:pos="720"/>
        <w:tab w:val="center" w:pos="4680" w:leader="none"/>
        <w:tab w:val="right" w:pos="9360"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rPr>
        <w:sz w:val="22"/>
        <w:szCs w:val="22"/>
      </w:rPr>
    </w:pPr>
    <w:r>
      <w:rPr>
        <w:sz w:val="22"/>
        <w:szCs w:val="22"/>
      </w:rPr>
    </w:r>
  </w:p>
  <w:tbl>
    <w:tblPr>
      <w:tblStyle w:val="a4"/>
      <w:tblW w:w="9360" w:type="dxa"/>
      <w:jc w:val="left"/>
      <w:tblInd w:w="108" w:type="dxa"/>
      <w:tblLayout w:type="fixed"/>
      <w:tblCellMar>
        <w:top w:w="0" w:type="dxa"/>
        <w:left w:w="108" w:type="dxa"/>
        <w:bottom w:w="0" w:type="dxa"/>
        <w:right w:w="108" w:type="dxa"/>
      </w:tblCellMar>
      <w:tblLook w:val="0600" w:noHBand="1" w:noVBand="1" w:firstColumn="0" w:lastRow="0" w:lastColumn="0" w:firstRow="0"/>
    </w:tblPr>
    <w:tblGrid>
      <w:gridCol w:w="3120"/>
      <w:gridCol w:w="3120"/>
      <w:gridCol w:w="3120"/>
    </w:tblGrid>
    <w:tr>
      <w:trPr/>
      <w:tc>
        <w:tcPr>
          <w:tcW w:w="3120" w:type="dxa"/>
          <w:tcBorders/>
        </w:tcPr>
        <w:p>
          <w:pPr>
            <w:pStyle w:val="Normal"/>
            <w:tabs>
              <w:tab w:val="clear" w:pos="720"/>
              <w:tab w:val="center" w:pos="4680" w:leader="none"/>
              <w:tab w:val="right" w:pos="9360" w:leader="none"/>
            </w:tabs>
            <w:ind w:left="-115"/>
            <w:rPr>
              <w:color w:val="000000"/>
            </w:rPr>
          </w:pPr>
          <w:r>
            <w:rPr>
              <w:color w:val="000000"/>
            </w:rPr>
          </w:r>
        </w:p>
      </w:tc>
      <w:tc>
        <w:tcPr>
          <w:tcW w:w="3120" w:type="dxa"/>
          <w:tcBorders/>
        </w:tcPr>
        <w:p>
          <w:pPr>
            <w:pStyle w:val="Normal"/>
            <w:tabs>
              <w:tab w:val="clear" w:pos="720"/>
              <w:tab w:val="center" w:pos="4680" w:leader="none"/>
              <w:tab w:val="right" w:pos="9360" w:leader="none"/>
            </w:tabs>
            <w:jc w:val="center"/>
            <w:rPr>
              <w:color w:val="000000"/>
            </w:rPr>
          </w:pPr>
          <w:r>
            <w:rPr>
              <w:color w:val="000000"/>
            </w:rPr>
          </w:r>
        </w:p>
      </w:tc>
      <w:tc>
        <w:tcPr>
          <w:tcW w:w="3120" w:type="dxa"/>
          <w:tcBorders/>
        </w:tcPr>
        <w:p>
          <w:pPr>
            <w:pStyle w:val="Normal"/>
            <w:tabs>
              <w:tab w:val="clear" w:pos="720"/>
              <w:tab w:val="center" w:pos="4680" w:leader="none"/>
              <w:tab w:val="right" w:pos="9360" w:leader="none"/>
            </w:tabs>
            <w:ind w:right="-115"/>
            <w:jc w:val="right"/>
            <w:rPr>
              <w:rFonts w:ascii="Hind" w:hAnsi="Hind" w:eastAsia="Hind" w:cs="Hind"/>
              <w:b/>
              <w:color w:val="000000"/>
              <w:sz w:val="22"/>
              <w:szCs w:val="22"/>
            </w:rPr>
          </w:pPr>
          <w:r>
            <w:rPr/>
            <w:drawing>
              <wp:inline distT="0" distB="0" distL="0" distR="0">
                <wp:extent cx="1141095" cy="380365"/>
                <wp:effectExtent l="0" t="0" r="0" b="0"/>
                <wp:docPr id="2" name="image1.png" descr="Internet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Internet Society Logo"/>
                        <pic:cNvPicPr>
                          <a:picLocks noChangeAspect="1" noChangeArrowheads="1"/>
                        </pic:cNvPicPr>
                      </pic:nvPicPr>
                      <pic:blipFill>
                        <a:blip r:embed="rId1"/>
                        <a:stretch>
                          <a:fillRect/>
                        </a:stretch>
                      </pic:blipFill>
                      <pic:spPr bwMode="auto">
                        <a:xfrm>
                          <a:off x="0" y="0"/>
                          <a:ext cx="1141095" cy="380365"/>
                        </a:xfrm>
                        <a:prstGeom prst="rect">
                          <a:avLst/>
                        </a:prstGeom>
                        <a:noFill/>
                      </pic:spPr>
                    </pic:pic>
                  </a:graphicData>
                </a:graphic>
              </wp:inline>
            </w:drawing>
          </w:r>
        </w:p>
      </w:tc>
    </w:tr>
  </w:tbl>
  <w:p>
    <w:pPr>
      <w:pStyle w:val="Normal"/>
      <w:tabs>
        <w:tab w:val="clear" w:pos="720"/>
        <w:tab w:val="center" w:pos="4680" w:leader="none"/>
        <w:tab w:val="right" w:pos="9360" w:leader="none"/>
      </w:tabs>
      <w:rPr>
        <w:color w:val="000000"/>
      </w:rPr>
    </w:pPr>
    <w:r>
      <w:rPr>
        <w:color w:val="000000"/>
      </w:rPr>
    </w:r>
  </w:p>
</w:hdr>
</file>

<file path=word/settings.xml><?xml version="1.0" encoding="utf-8"?>
<w:settings xmlns:w="http://schemas.openxmlformats.org/wordprocessingml/2006/main">
  <w:zoom w:percent="100"/>
  <w:embedTrueTypeFonts/>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7dd1"/>
    <w:pPr>
      <w:widowControl/>
      <w:suppressAutoHyphens w:val="true"/>
      <w:bidi w:val="0"/>
      <w:spacing w:before="0" w:after="0"/>
      <w:jc w:val="left"/>
    </w:pPr>
    <w:rPr>
      <w:rFonts w:ascii="Calibri" w:hAnsi="Calibri" w:eastAsia="Calibri" w:cs="Calibr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uiPriority w:val="9"/>
    <w:semiHidden/>
    <w:unhideWhenUsed/>
    <w:qFormat/>
    <w:rsid w:val="004c1207"/>
    <w:pPr>
      <w:spacing w:lineRule="auto" w:line="288" w:before="200" w:after="0"/>
      <w:outlineLvl w:val="1"/>
    </w:pPr>
    <w:rPr>
      <w:rFonts w:ascii="Georgia" w:hAnsi="Georgia" w:eastAsia="" w:eastAsiaTheme="minorEastAsia"/>
      <w:b/>
      <w:spacing w:val="15"/>
      <w:sz w:val="40"/>
      <w:szCs w:val="22"/>
      <w:lang w:val="en-AU"/>
    </w:rPr>
  </w:style>
  <w:style w:type="paragraph" w:styleId="Heading3">
    <w:name w:val="heading 3"/>
    <w:basedOn w:val="Normal"/>
    <w:next w:val="Normal"/>
    <w:link w:val="Heading3Char"/>
    <w:uiPriority w:val="9"/>
    <w:semiHidden/>
    <w:unhideWhenUsed/>
    <w:qFormat/>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525b77"/>
    <w:rPr/>
  </w:style>
  <w:style w:type="character" w:styleId="PageNumber">
    <w:name w:val="page number"/>
    <w:basedOn w:val="DefaultParagraphFont"/>
    <w:uiPriority w:val="99"/>
    <w:semiHidden/>
    <w:unhideWhenUsed/>
    <w:rsid w:val="00525b77"/>
    <w:rPr/>
  </w:style>
  <w:style w:type="character" w:styleId="FootnoteTextChar" w:customStyle="1">
    <w:name w:val="Footnote Text Char"/>
    <w:basedOn w:val="DefaultParagraphFont"/>
    <w:link w:val="FootnoteText"/>
    <w:uiPriority w:val="99"/>
    <w:semiHidden/>
    <w:qFormat/>
    <w:rsid w:val="00627717"/>
    <w:rPr>
      <w:sz w:val="20"/>
      <w:szCs w:val="20"/>
    </w:rPr>
  </w:style>
  <w:style w:type="character" w:styleId="FootnoteCharactersuser">
    <w:name w:val="Footnote Characters (user)"/>
    <w:uiPriority w:val="99"/>
    <w:semiHidden/>
    <w:unhideWhenUsed/>
    <w:qFormat/>
    <w:rsid w:val="00627717"/>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20147e"/>
    <w:rPr>
      <w:sz w:val="16"/>
      <w:szCs w:val="16"/>
    </w:rPr>
  </w:style>
  <w:style w:type="character" w:styleId="CommentTextChar" w:customStyle="1">
    <w:name w:val="Comment Text Char"/>
    <w:basedOn w:val="DefaultParagraphFont"/>
    <w:link w:val="CommentText"/>
    <w:uiPriority w:val="99"/>
    <w:semiHidden/>
    <w:qFormat/>
    <w:rsid w:val="0020147e"/>
    <w:rPr>
      <w:sz w:val="20"/>
      <w:szCs w:val="20"/>
    </w:rPr>
  </w:style>
  <w:style w:type="character" w:styleId="CommentSubjectChar" w:customStyle="1">
    <w:name w:val="Comment Subject Char"/>
    <w:basedOn w:val="CommentTextChar"/>
    <w:link w:val="annotationsubject"/>
    <w:uiPriority w:val="99"/>
    <w:semiHidden/>
    <w:qFormat/>
    <w:rsid w:val="0020147e"/>
    <w:rPr>
      <w:b/>
      <w:bCs/>
      <w:sz w:val="20"/>
      <w:szCs w:val="20"/>
    </w:rPr>
  </w:style>
  <w:style w:type="character" w:styleId="BalloonTextChar" w:customStyle="1">
    <w:name w:val="Balloon Text Char"/>
    <w:basedOn w:val="DefaultParagraphFont"/>
    <w:link w:val="BalloonText"/>
    <w:uiPriority w:val="99"/>
    <w:semiHidden/>
    <w:qFormat/>
    <w:rsid w:val="0020147e"/>
    <w:rPr>
      <w:rFonts w:ascii="Times New Roman" w:hAnsi="Times New Roman" w:cs="Times New Roman"/>
      <w:sz w:val="18"/>
      <w:szCs w:val="18"/>
    </w:rPr>
  </w:style>
  <w:style w:type="character" w:styleId="Strong">
    <w:name w:val="Strong"/>
    <w:basedOn w:val="DefaultParagraphFont"/>
    <w:uiPriority w:val="22"/>
    <w:qFormat/>
    <w:rsid w:val="0020147e"/>
    <w:rPr>
      <w:b/>
      <w:bCs/>
    </w:rPr>
  </w:style>
  <w:style w:type="character" w:styleId="Hyperlink">
    <w:name w:val="Hyperlink"/>
    <w:basedOn w:val="DefaultParagraphFont"/>
    <w:uiPriority w:val="99"/>
    <w:unhideWhenUsed/>
    <w:rsid w:val="00a1604e"/>
    <w:rPr>
      <w:color w:val="0000FF"/>
      <w:u w:val="single"/>
    </w:rPr>
  </w:style>
  <w:style w:type="character" w:styleId="UnresolvedMention">
    <w:name w:val="Unresolved Mention"/>
    <w:basedOn w:val="DefaultParagraphFont"/>
    <w:uiPriority w:val="99"/>
    <w:qFormat/>
    <w:rsid w:val="004c7cd3"/>
    <w:rPr>
      <w:color w:val="605E5C"/>
      <w:shd w:fill="E1DFDD" w:val="clear"/>
    </w:rPr>
  </w:style>
  <w:style w:type="character" w:styleId="Heading2Char" w:customStyle="1">
    <w:name w:val="Heading 2 Char"/>
    <w:basedOn w:val="DefaultParagraphFont"/>
    <w:link w:val="Heading2"/>
    <w:uiPriority w:val="9"/>
    <w:qFormat/>
    <w:rsid w:val="004c1207"/>
    <w:rPr>
      <w:rFonts w:ascii="Georgia" w:hAnsi="Georgia" w:eastAsia="" w:eastAsiaTheme="minorEastAsia"/>
      <w:b/>
      <w:spacing w:val="15"/>
      <w:sz w:val="40"/>
      <w:szCs w:val="22"/>
      <w:lang w:val="en-AU"/>
    </w:rPr>
  </w:style>
  <w:style w:type="character" w:styleId="Heading1Char" w:customStyle="1">
    <w:name w:val="Heading 1 Char"/>
    <w:basedOn w:val="DefaultParagraphFont"/>
    <w:link w:val="Heading1"/>
    <w:uiPriority w:val="9"/>
    <w:qFormat/>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qFormat/>
    <w:rPr>
      <w:rFonts w:ascii="Calibri Light" w:hAnsi="Calibri Light" w:eastAsia="" w:cs="" w:asciiTheme="majorHAnsi" w:cstheme="majorBidi" w:eastAsiaTheme="majorEastAsia" w:hAnsiTheme="majorHAnsi"/>
      <w:color w:themeColor="accent1" w:themeShade="7f" w:val="1F3763"/>
      <w:sz w:val="24"/>
      <w:szCs w:val="24"/>
    </w:rPr>
  </w:style>
  <w:style w:type="character" w:styleId="HeaderChar" w:customStyle="1">
    <w:name w:val="Header Char"/>
    <w:basedOn w:val="DefaultParagraphFont"/>
    <w:link w:val="Header"/>
    <w:uiPriority w:val="99"/>
    <w:qFormat/>
    <w:rPr/>
  </w:style>
  <w:style w:type="character" w:styleId="FollowedHyperlink">
    <w:name w:val="FollowedHyperlink"/>
    <w:basedOn w:val="DefaultParagraphFont"/>
    <w:uiPriority w:val="99"/>
    <w:semiHidden/>
    <w:unhideWhenUsed/>
    <w:rsid w:val="00571563"/>
    <w:rPr>
      <w:color w:themeColor="followedHyperlink" w:val="954F72"/>
      <w:u w:val="single"/>
    </w:rPr>
  </w:style>
  <w:style w:type="character" w:styleId="EndnoteCharactersuser">
    <w:name w:val="Endnote Characters (user)"/>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rsid w:val="00f67dd1"/>
    <w:pPr>
      <w:spacing w:before="0" w:after="0"/>
      <w:ind w:left="720"/>
      <w:contextualSpacing/>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525b77"/>
    <w:pPr>
      <w:tabs>
        <w:tab w:val="clear" w:pos="720"/>
        <w:tab w:val="center" w:pos="4680" w:leader="none"/>
        <w:tab w:val="right" w:pos="9360" w:leader="none"/>
      </w:tabs>
    </w:pPr>
    <w:rPr/>
  </w:style>
  <w:style w:type="paragraph" w:styleId="FootnoteText">
    <w:name w:val="footnote text"/>
    <w:basedOn w:val="Normal"/>
    <w:link w:val="FootnoteTextChar"/>
    <w:uiPriority w:val="99"/>
    <w:semiHidden/>
    <w:unhideWhenUsed/>
    <w:rsid w:val="00627717"/>
    <w:pPr/>
    <w:rPr>
      <w:sz w:val="20"/>
      <w:szCs w:val="20"/>
    </w:rPr>
  </w:style>
  <w:style w:type="paragraph" w:styleId="CommentText">
    <w:name w:val="annotation text"/>
    <w:basedOn w:val="Normal"/>
    <w:link w:val="CommentTextChar"/>
    <w:uiPriority w:val="99"/>
    <w:semiHidden/>
    <w:unhideWhenUsed/>
    <w:rsid w:val="0020147e"/>
    <w:pPr/>
    <w:rPr>
      <w:sz w:val="20"/>
      <w:szCs w:val="20"/>
    </w:rPr>
  </w:style>
  <w:style w:type="paragraph" w:styleId="annotationsubject">
    <w:name w:val="annotation subject"/>
    <w:basedOn w:val="CommentText"/>
    <w:next w:val="CommentText"/>
    <w:link w:val="CommentSubjectChar"/>
    <w:uiPriority w:val="99"/>
    <w:semiHidden/>
    <w:unhideWhenUsed/>
    <w:qFormat/>
    <w:rsid w:val="0020147e"/>
    <w:pPr/>
    <w:rPr>
      <w:b/>
      <w:bCs/>
    </w:rPr>
  </w:style>
  <w:style w:type="paragraph" w:styleId="BalloonText">
    <w:name w:val="Balloon Text"/>
    <w:basedOn w:val="Normal"/>
    <w:link w:val="BalloonTextChar"/>
    <w:uiPriority w:val="99"/>
    <w:semiHidden/>
    <w:unhideWhenUsed/>
    <w:qFormat/>
    <w:rsid w:val="0020147e"/>
    <w:pPr/>
    <w:rPr>
      <w:rFonts w:ascii="Times New Roman" w:hAnsi="Times New Roman" w:cs="Times New Roman"/>
      <w:sz w:val="18"/>
      <w:szCs w:val="18"/>
    </w:rPr>
  </w:style>
  <w:style w:type="paragraph" w:styleId="NormalWeb">
    <w:name w:val="Normal (Web)"/>
    <w:basedOn w:val="Normal"/>
    <w:uiPriority w:val="99"/>
    <w:unhideWhenUsed/>
    <w:qFormat/>
    <w:rsid w:val="000348f9"/>
    <w:pPr>
      <w:spacing w:beforeAutospacing="1" w:afterAutospacing="1"/>
    </w:pPr>
    <w:rPr>
      <w:rFonts w:ascii="Times New Roman" w:hAnsi="Times New Roman" w:eastAsia="Times New Roman" w:cs="Times New Roman"/>
    </w:rPr>
  </w:style>
  <w:style w:type="paragraph" w:styleId="Header">
    <w:name w:val="header"/>
    <w:basedOn w:val="Normal"/>
    <w:link w:val="HeaderChar"/>
    <w:uiPriority w:val="99"/>
    <w:unhideWhenUsed/>
    <w:pPr>
      <w:tabs>
        <w:tab w:val="clear" w:pos="720"/>
        <w:tab w:val="center" w:pos="4680" w:leader="none"/>
        <w:tab w:val="right" w:pos="9360" w:leader="none"/>
      </w:tabs>
    </w:pPr>
    <w:rPr/>
  </w:style>
  <w:style w:type="paragraph" w:styleId="Revision">
    <w:name w:val="Revision"/>
    <w:uiPriority w:val="99"/>
    <w:semiHidden/>
    <w:qFormat/>
    <w:rsid w:val="00982f1b"/>
    <w:pPr>
      <w:widowControl/>
      <w:suppressAutoHyphens w:val="true"/>
      <w:bidi w:val="0"/>
      <w:spacing w:before="0" w:after="0"/>
      <w:jc w:val="left"/>
    </w:pPr>
    <w:rPr>
      <w:rFonts w:ascii="Calibri" w:hAnsi="Calibri" w:eastAsia="Calibri" w:cs="Calibri"/>
      <w:color w:val="auto"/>
      <w:kern w:val="0"/>
      <w:sz w:val="24"/>
      <w:szCs w:val="24"/>
      <w:lang w:val="en-US" w:eastAsia="ja-JP"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Contents">
    <w:name w:val="List Contents"/>
    <w:basedOn w:val="Normal"/>
    <w:qFormat/>
    <w:pPr>
      <w:ind w:lef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67d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sauthors.org.au/rates-of-pay/"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NgoeaIuWp0bBEc2PBJakxg2OzgA==">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Application>Collabora_Office/25.04.9.4$Linux_X86_64 LibreOffice_project/bbf180856f1919e69a04fdf6175ff4f11f52e1db</Application>
  <AppVersion>15.0000</AppVersion>
  <Pages>4</Pages>
  <Words>747</Words>
  <Characters>4568</Characters>
  <CharactersWithSpaces>5254</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2025-01-17T14:57:00Z</dcterms:created>
  <dc:creator>Malisa Haley</dc:creator>
  <dc:description/>
  <dc:language>en-GB</dc:language>
  <cp:lastModifiedBy/>
  <cp:lastPrinted>2026-04-29T15:51:00Z</cp:lastPrinted>
  <dcterms:modified xsi:type="dcterms:W3CDTF">2026-04-22T15:41:02Z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